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Методические материалы для классных руководителей 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Организация просветительских бесед  по профилактике преступлений экстремистского и террористического характера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</w:r>
      <w:r>
        <w:rPr>
          <w:rFonts w:ascii="Times New Roman" w:hAnsi="Times New Roman" w:cs="Times New Roman"/>
          <w:i/>
          <w:sz w:val="28"/>
          <w:szCs w:val="28"/>
        </w:rPr>
      </w:r>
    </w:p>
    <w:p>
      <w:pPr>
        <w:pStyle w:val="703"/>
        <w:ind w:firstLine="567"/>
        <w:jc w:val="both"/>
        <w:rPr>
          <w:sz w:val="28"/>
          <w:szCs w:val="28"/>
        </w:rPr>
      </w:pPr>
      <w:r>
        <w:rPr>
          <w:spacing w:val="2"/>
          <w:sz w:val="28"/>
          <w:szCs w:val="28"/>
        </w:rPr>
        <w:t xml:space="preserve">Основной и наиболее доступной формой проведения профилакти</w:t>
      </w:r>
      <w:r>
        <w:rPr>
          <w:spacing w:val="2"/>
          <w:sz w:val="28"/>
          <w:szCs w:val="28"/>
        </w:rPr>
        <w:t xml:space="preserve">ческих мероприятий являются просветительские беседы. </w:t>
      </w:r>
      <w:r>
        <w:rPr>
          <w:sz w:val="28"/>
          <w:szCs w:val="28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Просветительские беседы по профилактике экстремизма и терроризма позволяют решать следующие задачи: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формирование у обучающихся знаний о сущности экстремистской и террористической деятельности;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формировани</w:t>
      </w:r>
      <w:r>
        <w:rPr>
          <w:rFonts w:ascii="Times New Roman" w:hAnsi="Times New Roman" w:cs="Times New Roman"/>
          <w:sz w:val="28"/>
          <w:szCs w:val="28"/>
        </w:rPr>
        <w:t xml:space="preserve">е</w:t>
      </w:r>
      <w:r>
        <w:rPr>
          <w:rFonts w:ascii="Times New Roman" w:hAnsi="Times New Roman" w:cs="Times New Roman"/>
          <w:sz w:val="28"/>
          <w:szCs w:val="28"/>
        </w:rPr>
        <w:t xml:space="preserve"> у обучающихся знаний об ответственности за совершение преступлений экстремистского и  террористического характера;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развити</w:t>
      </w:r>
      <w:r>
        <w:rPr>
          <w:rFonts w:ascii="Times New Roman" w:hAnsi="Times New Roman" w:cs="Times New Roman"/>
          <w:sz w:val="28"/>
          <w:szCs w:val="28"/>
        </w:rPr>
        <w:t xml:space="preserve">е</w:t>
      </w:r>
      <w:r>
        <w:rPr>
          <w:rFonts w:ascii="Times New Roman" w:hAnsi="Times New Roman" w:cs="Times New Roman"/>
          <w:sz w:val="28"/>
          <w:szCs w:val="28"/>
        </w:rPr>
        <w:t xml:space="preserve"> у обучающихся умений и навыков правильных действий при поступлении угрозы террористических актов.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7"/>
        <w:numPr>
          <w:ilvl w:val="0"/>
          <w:numId w:val="1"/>
        </w:numPr>
        <w:contextualSpacing/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Сущность экстремистской и террористической деятельности.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87"/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88"/>
        <w:ind w:firstLine="70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Экстремизм </w:t>
      </w:r>
      <w:r>
        <w:rPr>
          <w:sz w:val="28"/>
          <w:szCs w:val="28"/>
        </w:rPr>
        <w:t xml:space="preserve">– приверженность к крайним взглядам 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мерам (С.И. Ожегов, Н.Ю. Шведова Толковый словарь русского языка.</w:t>
      </w:r>
      <w:r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М,, 2000). </w:t>
      </w:r>
      <w:r>
        <w:rPr>
          <w:sz w:val="28"/>
          <w:szCs w:val="28"/>
        </w:rPr>
      </w:r>
    </w:p>
    <w:p>
      <w:pPr>
        <w:pStyle w:val="688"/>
        <w:ind w:firstLine="708"/>
        <w:jc w:val="both"/>
        <w:spacing w:before="0" w:beforeAutospacing="0" w:after="0" w:afterAutospacing="0"/>
        <w:rPr>
          <w:iCs/>
          <w:sz w:val="28"/>
          <w:szCs w:val="28"/>
        </w:rPr>
      </w:pPr>
      <w:r>
        <w:rPr>
          <w:sz w:val="28"/>
          <w:szCs w:val="28"/>
        </w:rPr>
        <w:t xml:space="preserve">«Шанхайская конвенция о борьбе с терроризмом, сепаратизмом и экстремизмом» (п. 3 ч. 1 ст. 1)  даёт следующее определение понятия "экстремизм":</w:t>
      </w:r>
      <w:r>
        <w:rPr>
          <w:iCs/>
          <w:sz w:val="28"/>
          <w:szCs w:val="28"/>
        </w:rPr>
        <w:t xml:space="preserve"> экстремизм — какое-либо деяние, направленное на насильственный захват власти или насильственн</w:t>
      </w:r>
      <w:r>
        <w:rPr>
          <w:iCs/>
          <w:sz w:val="28"/>
          <w:szCs w:val="28"/>
        </w:rPr>
        <w:t xml:space="preserve">ое удержание власти, а также на насильственное изменение конституционного строя государства, а равно насильственное посягательство на общественную безопасность, в том числе организация в вышеуказанных целях незаконных вооруженных формирований или участие в</w:t>
      </w:r>
      <w:r>
        <w:rPr>
          <w:iCs/>
          <w:sz w:val="28"/>
          <w:szCs w:val="28"/>
        </w:rPr>
        <w:t xml:space="preserve"> них, и преследуемые в уголовном порядке в соответствии с национальным законодательством Сторон.</w:t>
      </w:r>
      <w:r>
        <w:rPr>
          <w:iCs/>
          <w:sz w:val="28"/>
          <w:szCs w:val="28"/>
        </w:rPr>
      </w:r>
    </w:p>
    <w:p>
      <w:pPr>
        <w:pStyle w:val="688"/>
        <w:ind w:firstLine="70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 России юридическое определение того, какие действия считаются экстремистскими, содержится в статье 1 Федерального Закона № 114-ФЗ «О противодействии экстремистской деятельности». Под экстремизмом (экстремистской деятельностью) в российск</w:t>
      </w:r>
      <w:r>
        <w:rPr>
          <w:sz w:val="28"/>
          <w:szCs w:val="28"/>
        </w:rPr>
        <w:t xml:space="preserve">ой правовой доктрине понимается </w:t>
      </w:r>
      <w:r>
        <w:rPr>
          <w:sz w:val="28"/>
          <w:szCs w:val="28"/>
        </w:rPr>
        <w:t xml:space="preserve">насильственное изменение основ конституционного строя и нарушение целостности Российской Федерации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</w:p>
    <w:p>
      <w:pPr>
        <w:pStyle w:val="687"/>
        <w:numPr>
          <w:ilvl w:val="0"/>
          <w:numId w:val="2"/>
        </w:numPr>
        <w:contextualSpacing/>
        <w:ind w:left="0" w:firstLine="851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публичное оправдание терроризма и иная террористическая деятельность; </w:t>
      </w:r>
      <w:r>
        <w:rPr>
          <w:rFonts w:ascii="Times New Roman" w:hAnsi="Times New Roman" w:cs="Times New Roman"/>
          <w:sz w:val="28"/>
          <w:szCs w:val="28"/>
          <w:lang w:eastAsia="ru-RU"/>
        </w:rPr>
      </w:r>
    </w:p>
    <w:p>
      <w:pPr>
        <w:pStyle w:val="687"/>
        <w:numPr>
          <w:ilvl w:val="0"/>
          <w:numId w:val="2"/>
        </w:numPr>
        <w:contextualSpacing/>
        <w:ind w:left="0" w:firstLine="851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возбуждение социальной, расовой, национальной или религиозной розни; </w:t>
      </w:r>
      <w:r>
        <w:rPr>
          <w:rFonts w:ascii="Times New Roman" w:hAnsi="Times New Roman" w:cs="Times New Roman"/>
          <w:sz w:val="28"/>
          <w:szCs w:val="28"/>
          <w:lang w:eastAsia="ru-RU"/>
        </w:rPr>
      </w:r>
    </w:p>
    <w:p>
      <w:pPr>
        <w:pStyle w:val="687"/>
        <w:numPr>
          <w:ilvl w:val="0"/>
          <w:numId w:val="2"/>
        </w:numPr>
        <w:contextualSpacing/>
        <w:ind w:left="0" w:firstLine="851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пропаганда исключительности, превосходства либо неполноценности человека по признаку его социальной, расовой, национальной, религиозной или языковой принадлежности или отношения к религии; </w:t>
      </w:r>
      <w:r>
        <w:rPr>
          <w:rFonts w:ascii="Times New Roman" w:hAnsi="Times New Roman" w:cs="Times New Roman"/>
          <w:sz w:val="28"/>
          <w:szCs w:val="28"/>
          <w:lang w:eastAsia="ru-RU"/>
        </w:rPr>
      </w:r>
    </w:p>
    <w:p>
      <w:pPr>
        <w:pStyle w:val="687"/>
        <w:numPr>
          <w:ilvl w:val="0"/>
          <w:numId w:val="2"/>
        </w:numPr>
        <w:contextualSpacing/>
        <w:ind w:left="0" w:firstLine="851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нарушение прав, свобод и законных интересов человека и гражданина в зависимости от его социальной, расовой, национальной, религиозной или языковой принадлежности или отношения к религии; </w:t>
      </w:r>
      <w:r>
        <w:rPr>
          <w:rFonts w:ascii="Times New Roman" w:hAnsi="Times New Roman" w:cs="Times New Roman"/>
          <w:sz w:val="28"/>
          <w:szCs w:val="28"/>
          <w:lang w:eastAsia="ru-RU"/>
        </w:rPr>
      </w:r>
    </w:p>
    <w:p>
      <w:pPr>
        <w:pStyle w:val="687"/>
        <w:numPr>
          <w:ilvl w:val="0"/>
          <w:numId w:val="2"/>
        </w:numPr>
        <w:contextualSpacing/>
        <w:ind w:left="0" w:firstLine="851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воспрепятствование осуществлению гражданами их избирательных прав и права на участие в референдуме или нарушение тайны голосования, соединенные с насилием либо угрозой его применения; </w:t>
      </w:r>
      <w:r>
        <w:rPr>
          <w:rFonts w:ascii="Times New Roman" w:hAnsi="Times New Roman" w:cs="Times New Roman"/>
          <w:sz w:val="28"/>
          <w:szCs w:val="28"/>
          <w:lang w:eastAsia="ru-RU"/>
        </w:rPr>
      </w:r>
    </w:p>
    <w:p>
      <w:pPr>
        <w:pStyle w:val="687"/>
        <w:numPr>
          <w:ilvl w:val="0"/>
          <w:numId w:val="2"/>
        </w:numPr>
        <w:contextualSpacing/>
        <w:ind w:left="0" w:firstLine="851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воспрепятствование законной деятельности государственных органов, органов местного самоуправления, избирательных комиссий, общественных и религиозных объединений или иных организаций, соединенное с насилием либо угрозой его применения; </w:t>
      </w:r>
      <w:r>
        <w:rPr>
          <w:rFonts w:ascii="Times New Roman" w:hAnsi="Times New Roman" w:cs="Times New Roman"/>
          <w:sz w:val="28"/>
          <w:szCs w:val="28"/>
          <w:lang w:eastAsia="ru-RU"/>
        </w:rPr>
      </w:r>
    </w:p>
    <w:p>
      <w:pPr>
        <w:pStyle w:val="687"/>
        <w:numPr>
          <w:ilvl w:val="0"/>
          <w:numId w:val="2"/>
        </w:numPr>
        <w:contextualSpacing/>
        <w:ind w:left="0" w:firstLine="851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совершение преступлений по мотивам, указанным в пункте «е» части первой статьи 63 Уголовного кодекса Российской Федерации; </w:t>
      </w:r>
      <w:r>
        <w:rPr>
          <w:rFonts w:ascii="Times New Roman" w:hAnsi="Times New Roman" w:cs="Times New Roman"/>
          <w:sz w:val="28"/>
          <w:szCs w:val="28"/>
          <w:lang w:eastAsia="ru-RU"/>
        </w:rPr>
      </w:r>
    </w:p>
    <w:p>
      <w:pPr>
        <w:pStyle w:val="687"/>
        <w:numPr>
          <w:ilvl w:val="0"/>
          <w:numId w:val="2"/>
        </w:numPr>
        <w:contextualSpacing/>
        <w:ind w:left="0" w:firstLine="851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пропаганда и публичное демонстрирование нацистской атрибутики или символики, либо атрибутики или символики,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сходных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 нацистской атрибутикой или символикой до степени смешения; </w:t>
      </w:r>
      <w:r>
        <w:rPr>
          <w:rFonts w:ascii="Times New Roman" w:hAnsi="Times New Roman" w:cs="Times New Roman"/>
          <w:sz w:val="28"/>
          <w:szCs w:val="28"/>
          <w:lang w:eastAsia="ru-RU"/>
        </w:rPr>
      </w:r>
    </w:p>
    <w:p>
      <w:pPr>
        <w:pStyle w:val="687"/>
        <w:numPr>
          <w:ilvl w:val="0"/>
          <w:numId w:val="2"/>
        </w:numPr>
        <w:contextualSpacing/>
        <w:ind w:left="0" w:firstLine="851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публичные призывы к осуществлению указанных деяний либо массовое распространение заведомо экстремистских материалов, а равно их изготовление или хранение в целях массового распространения; </w:t>
      </w:r>
      <w:r>
        <w:rPr>
          <w:rFonts w:ascii="Times New Roman" w:hAnsi="Times New Roman" w:cs="Times New Roman"/>
          <w:sz w:val="28"/>
          <w:szCs w:val="28"/>
          <w:lang w:eastAsia="ru-RU"/>
        </w:rPr>
      </w:r>
    </w:p>
    <w:p>
      <w:pPr>
        <w:pStyle w:val="687"/>
        <w:numPr>
          <w:ilvl w:val="0"/>
          <w:numId w:val="2"/>
        </w:numPr>
        <w:contextualSpacing/>
        <w:ind w:left="0" w:firstLine="851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публичное заведомо ложное обвинение ли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ца, занимающего государственную должность Российской Федерации или государственную должность субъекта Российской Федерации, в совершении им в период исполнения своих должностных обязанностей деяний, указанных в настоящей статье и являющихся преступлением; </w:t>
      </w:r>
      <w:r>
        <w:rPr>
          <w:rFonts w:ascii="Times New Roman" w:hAnsi="Times New Roman" w:cs="Times New Roman"/>
          <w:sz w:val="28"/>
          <w:szCs w:val="28"/>
          <w:lang w:eastAsia="ru-RU"/>
        </w:rPr>
      </w:r>
    </w:p>
    <w:p>
      <w:pPr>
        <w:pStyle w:val="687"/>
        <w:numPr>
          <w:ilvl w:val="0"/>
          <w:numId w:val="2"/>
        </w:numPr>
        <w:contextualSpacing/>
        <w:ind w:left="0" w:firstLine="851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организация и подготовка указанных деяний, а также подстрекательство к их осуществлению; </w:t>
      </w:r>
      <w:r>
        <w:rPr>
          <w:rFonts w:ascii="Times New Roman" w:hAnsi="Times New Roman" w:cs="Times New Roman"/>
          <w:sz w:val="28"/>
          <w:szCs w:val="28"/>
          <w:lang w:eastAsia="ru-RU"/>
        </w:rPr>
      </w:r>
    </w:p>
    <w:p>
      <w:pPr>
        <w:pStyle w:val="687"/>
        <w:numPr>
          <w:ilvl w:val="0"/>
          <w:numId w:val="2"/>
        </w:numPr>
        <w:contextualSpacing/>
        <w:ind w:left="0" w:firstLine="851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  <w:outlineLvl w:val="1"/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финансирование указанных деяний либо иное содействие в их организации, подготовке и осуществлении, в том числе путём предоставления учебной, полиграфической и материально-технической базы, телефонной и иных видов связи или оказания информационных услуг.</w:t>
      </w:r>
      <w:r>
        <w:rPr>
          <w:rFonts w:ascii="Times New Roman" w:hAnsi="Times New Roman" w:cs="Times New Roman"/>
          <w:sz w:val="28"/>
          <w:szCs w:val="28"/>
          <w:lang w:eastAsia="ru-RU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outlineLvl w:val="1"/>
      </w:pPr>
      <w:r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 xml:space="preserve">Экстремизм, как правило, в своей основе имеет определенную идеологию. Признаки экстремизма содержат идеологии, которые основаны на утверждении исключительности, превосходства либо неполноценности чело</w:t>
      </w:r>
      <w:r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 xml:space="preserve">века на почве социальной, расовой, национальной, религиозной или языковой принадлежности или отношения к религии, а также идеи политической, идеологической, расовой, национальной или религиозной ненависти или вражды в отношении какой-либо социальной группы</w:t>
      </w:r>
      <w:r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 xml:space="preserve">.</w:t>
      </w:r>
      <w:r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Терроризм рассматривается как крайняя форма проявления экстремизма.</w:t>
      </w:r>
      <w:r>
        <w:rPr>
          <w:rFonts w:ascii="Times New Roman" w:hAnsi="Times New Roman" w:cs="Times New Roman"/>
          <w:sz w:val="28"/>
          <w:szCs w:val="28"/>
          <w:lang w:eastAsia="ru-RU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Терроризм -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это очень сложное явление, по-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разному проявляющееся в различных странах в зависимости от их культурных традиций, социальной структуры и многих других факторов. </w:t>
      </w:r>
      <w:r>
        <w:rPr>
          <w:rFonts w:ascii="Times New Roman" w:hAnsi="Times New Roman" w:cs="Times New Roman"/>
          <w:sz w:val="28"/>
          <w:szCs w:val="28"/>
          <w:lang w:eastAsia="ru-RU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Слово террор произошло из латинского языка: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terror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страх, ужас. Любые действия террориста (даже не связанные с убийством) всегда пред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полагают насилие, принуждение, угрозу. Главное средство достижения цели для любого террориста - это запугивание, создание атмосферы страха и неуверенности, наведение ужаса. Принимая во внимание крайнюю общественную опасность и жестокость актов террора, их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антисоциальность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антигуманность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терроризм часто определяют  как общественный феномен, заключающийся в противоправном использовании крайних форм насилия или угрозы насилием для устрашения противников с целью достижения конкретных целей.</w:t>
      </w:r>
      <w:r>
        <w:rPr>
          <w:rFonts w:ascii="Times New Roman" w:hAnsi="Times New Roman" w:cs="Times New Roman"/>
          <w:sz w:val="28"/>
          <w:szCs w:val="28"/>
          <w:lang w:eastAsia="ru-RU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Понятие терроризм  законодательно закреплено в России в Федеральном законе от 27.07.2006 г. "О противодействии терроризму". Согласно ст.3 ФЗ "О противодействии терроризму" терроризм - идеология насилия и практика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воздействия на принятие решения органами государственной власти, органами местного самоуправления или международными организациями, связанные с устрашением населения и (или) иными формами противоправных насильственных действий.</w:t>
      </w:r>
      <w:r>
        <w:rPr>
          <w:rFonts w:ascii="Times New Roman" w:hAnsi="Times New Roman" w:cs="Times New Roman"/>
          <w:sz w:val="28"/>
          <w:szCs w:val="28"/>
          <w:lang w:eastAsia="ru-RU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соответствии всё с тем же федеральным законом (п.3 ст.2) под 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еррористической деятельностью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понимается деятельность, включающая в себя:</w:t>
      </w:r>
      <w:r>
        <w:rPr>
          <w:rFonts w:ascii="Times New Roman" w:hAnsi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а) организацию, планирование, подготовку, финансирование и реализацию террористического акта;</w:t>
      </w:r>
      <w:r>
        <w:rPr>
          <w:rFonts w:ascii="Times New Roman" w:hAnsi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б)  подстрекательство к террористическому акту;</w:t>
      </w:r>
      <w:r>
        <w:rPr>
          <w:rFonts w:ascii="Times New Roman" w:hAnsi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в) организацию незаконного вооруженного формирования, преступного сообщества (преступной организации), организованной группы для реализации террористического акта, а равно участие в такой структуре;</w:t>
      </w:r>
      <w:r>
        <w:rPr>
          <w:rFonts w:ascii="Times New Roman" w:hAnsi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г) вербовку, вооружение, обучение и использование террористов;</w:t>
      </w:r>
      <w:r>
        <w:rPr>
          <w:rFonts w:ascii="Times New Roman" w:hAnsi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) информационное или иное пособничество в планировании, подготовке или реализации террористического акта;</w:t>
      </w:r>
      <w:r>
        <w:rPr>
          <w:rFonts w:ascii="Times New Roman" w:hAnsi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е) пропаганду идей терроризма, распространение материалов или информации, призывающих к осуществлению террористической деятельности либо обосновывающих или оправдывающих необходимость осуществления такой деятельности.</w:t>
      </w:r>
      <w:r>
        <w:rPr>
          <w:rFonts w:ascii="Times New Roman" w:hAnsi="Times New Roman" w:cs="Times New Roman"/>
          <w:sz w:val="28"/>
          <w:szCs w:val="28"/>
          <w:lang w:eastAsia="ru-RU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Отличительной чертой терроризма является то, что он порождает высокую общественную опасность, возникающую в результате совершения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общеопасных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действий либо угрозы таковыми; преднамеренное создание обстановки страха, подавленности, напряженности.</w:t>
      </w:r>
      <w:r>
        <w:rPr>
          <w:rFonts w:ascii="Times New Roman" w:hAnsi="Times New Roman" w:cs="Times New Roman"/>
          <w:sz w:val="28"/>
          <w:szCs w:val="28"/>
          <w:lang w:eastAsia="ru-RU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</w:r>
    </w:p>
    <w:p>
      <w:pPr>
        <w:pStyle w:val="687"/>
        <w:numPr>
          <w:ilvl w:val="0"/>
          <w:numId w:val="1"/>
        </w:numPr>
        <w:contextualSpacing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pacing w:val="-18"/>
          <w:sz w:val="28"/>
          <w:szCs w:val="28"/>
        </w:rPr>
        <w:t xml:space="preserve">Ответственность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за совершение преступлений экстремистского и  террористического характера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left="5" w:right="14" w:firstLine="706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Молодые люди при достижении установленного законом возраста за совершение преступлений экстремистского и террористического характера могут быть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привлечены как к административной, так и к уголовной ответственности.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5" w:firstLine="706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В Кодексе об административных правонарушениях Российской Федерации имеются </w:t>
      </w:r>
      <w:r>
        <w:rPr>
          <w:rFonts w:ascii="Times New Roman" w:hAnsi="Times New Roman" w:cs="Times New Roman"/>
          <w:sz w:val="28"/>
          <w:szCs w:val="28"/>
        </w:rPr>
        <w:t xml:space="preserve">статьи, предусматривающие ответственность за совершение правонарушения экстремистского характера. Это статья 20.3 - «пропаганда и публичное демонстрирование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нацистской атрибутики или символики» и статья 20.29 - «производство и распространение </w:t>
      </w:r>
      <w:r>
        <w:rPr>
          <w:rFonts w:ascii="Times New Roman" w:hAnsi="Times New Roman" w:cs="Times New Roman"/>
          <w:sz w:val="28"/>
          <w:szCs w:val="28"/>
        </w:rPr>
        <w:t xml:space="preserve">экстремистских материалов».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5" w:right="5" w:firstLine="701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Вместе с тем, Кодекс об административных правонарушениях Российской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Федерации предусматривает ответственность за другие противоправные действия, которые </w:t>
      </w:r>
      <w:r>
        <w:rPr>
          <w:rFonts w:ascii="Times New Roman" w:hAnsi="Times New Roman" w:cs="Times New Roman"/>
          <w:sz w:val="28"/>
          <w:szCs w:val="28"/>
        </w:rPr>
        <w:t xml:space="preserve">также могут носить экстремистский характер или исходить из экстремистских побуждений. К их числу можно отнести: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5" w:right="5" w:firstLine="701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нарушение законодательства о свободе совести, свободе вероисповедания и о религиозных объединениях (статья 5.26);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5" w:right="5" w:firstLine="701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незаконные действия по отношению к государственным символам Российской Федерации (статья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17.10); </w:t>
      </w:r>
      <w:r>
        <w:rPr>
          <w:rFonts w:ascii="Times New Roman" w:hAnsi="Times New Roman" w:cs="Times New Roman"/>
          <w:spacing w:val="-1"/>
          <w:sz w:val="28"/>
          <w:szCs w:val="28"/>
        </w:rPr>
      </w:r>
    </w:p>
    <w:p>
      <w:pPr>
        <w:ind w:left="5" w:right="5" w:firstLine="701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- мелкое хулиганство (статья 20.1); </w:t>
      </w:r>
      <w:r>
        <w:rPr>
          <w:rFonts w:ascii="Times New Roman" w:hAnsi="Times New Roman" w:cs="Times New Roman"/>
          <w:spacing w:val="-1"/>
          <w:sz w:val="28"/>
          <w:szCs w:val="28"/>
        </w:rPr>
      </w:r>
    </w:p>
    <w:p>
      <w:pPr>
        <w:ind w:left="5" w:right="5" w:firstLine="701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- нарушение установленного порядка организации </w:t>
      </w:r>
      <w:r>
        <w:rPr>
          <w:rFonts w:ascii="Times New Roman" w:hAnsi="Times New Roman" w:cs="Times New Roman"/>
          <w:sz w:val="28"/>
          <w:szCs w:val="28"/>
        </w:rPr>
        <w:t xml:space="preserve">либо проведения собрания, митинга, демонстрации, шествия или пикетирования (статья 20.2);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5" w:right="5" w:firstLine="701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организация деятельности общественного или религиозного объединения, в отношении которого принято решение о приостановлении его деятельности (статья 20.2(1)).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5" w:firstLine="706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Уголовная ответственность предусмотрена за совершение противоправных деяний экстре</w:t>
      </w:r>
      <w:r>
        <w:rPr>
          <w:rFonts w:ascii="Times New Roman" w:hAnsi="Times New Roman" w:cs="Times New Roman"/>
          <w:sz w:val="28"/>
          <w:szCs w:val="28"/>
        </w:rPr>
        <w:t xml:space="preserve">мистской направленности, к числу которых относятся преступления, совершенные по мотивам политической, идеологической, расовой, национальной или религиозной ненависти или вражды, либо по мотивам ненависти или вражды в отношении какой-либо социальной группы: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7"/>
        <w:numPr>
          <w:ilvl w:val="0"/>
          <w:numId w:val="3"/>
        </w:numPr>
        <w:ind w:right="5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</w:t>
      </w:r>
      <w:r>
        <w:rPr>
          <w:rFonts w:ascii="Times New Roman" w:hAnsi="Times New Roman" w:cs="Times New Roman"/>
          <w:sz w:val="28"/>
          <w:szCs w:val="28"/>
        </w:rPr>
        <w:t xml:space="preserve">татья 105 - убийство;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7"/>
        <w:numPr>
          <w:ilvl w:val="0"/>
          <w:numId w:val="3"/>
        </w:numPr>
        <w:ind w:right="5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статья 111 - умышленное причинение тяжкого вреда здоровью;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7"/>
        <w:numPr>
          <w:ilvl w:val="0"/>
          <w:numId w:val="3"/>
        </w:numPr>
        <w:ind w:right="5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статья 112 - умышленное причинение средней тяжести вреда здоровью;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7"/>
        <w:numPr>
          <w:ilvl w:val="0"/>
          <w:numId w:val="3"/>
        </w:numPr>
        <w:ind w:right="5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статья 115 - умышленное причинение легкого вреда здоровью;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7"/>
        <w:numPr>
          <w:ilvl w:val="0"/>
          <w:numId w:val="3"/>
        </w:numPr>
        <w:ind w:right="5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статья 116 - побои;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7"/>
        <w:numPr>
          <w:ilvl w:val="0"/>
          <w:numId w:val="3"/>
        </w:numPr>
        <w:ind w:right="5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статья</w:t>
      </w:r>
      <w:bookmarkStart w:id="0" w:name="bookmark11"/>
      <w:r>
        <w:rPr>
          <w:rFonts w:ascii="Times New Roman" w:hAnsi="Times New Roman" w:cs="Times New Roman"/>
          <w:sz w:val="28"/>
          <w:szCs w:val="28"/>
        </w:rPr>
        <w:t xml:space="preserve">1</w:t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17 – истязание;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7"/>
        <w:numPr>
          <w:ilvl w:val="0"/>
          <w:numId w:val="3"/>
        </w:numPr>
        <w:ind w:right="5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статья 119 – угроза убийством или причинением тяжкого вреда здоровью;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7"/>
        <w:numPr>
          <w:ilvl w:val="0"/>
          <w:numId w:val="3"/>
        </w:numPr>
        <w:ind w:right="5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статья 136 – нарушение равенства прав и свобод человека и гражданина;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7"/>
        <w:numPr>
          <w:ilvl w:val="0"/>
          <w:numId w:val="3"/>
        </w:numPr>
        <w:ind w:right="5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статья 148 – воспрепятствование осуществлению права на свободу совести и вероисповеданий;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7"/>
        <w:numPr>
          <w:ilvl w:val="0"/>
          <w:numId w:val="3"/>
        </w:numPr>
        <w:ind w:right="5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статья 149 – воспрепятствование проведению собрания, митинга, демонстрации, шествия, пикетирования или участию в них;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7"/>
        <w:numPr>
          <w:ilvl w:val="0"/>
          <w:numId w:val="3"/>
        </w:numPr>
        <w:ind w:right="5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статья 150 – вовлечение несовершеннолетнего в совершение преступления;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7"/>
        <w:numPr>
          <w:ilvl w:val="0"/>
          <w:numId w:val="3"/>
        </w:numPr>
        <w:ind w:right="5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статья 212 – массовые беспорядки;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7"/>
        <w:numPr>
          <w:ilvl w:val="0"/>
          <w:numId w:val="3"/>
        </w:numPr>
        <w:ind w:right="5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статья 213 – хулиганство;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7"/>
        <w:numPr>
          <w:ilvl w:val="0"/>
          <w:numId w:val="3"/>
        </w:numPr>
        <w:ind w:right="5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статья 214 – вандализм;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7"/>
        <w:numPr>
          <w:ilvl w:val="0"/>
          <w:numId w:val="3"/>
        </w:numPr>
        <w:ind w:right="5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статья 239 – организация объединения, посягающего на личность и права граждан;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7"/>
        <w:numPr>
          <w:ilvl w:val="0"/>
          <w:numId w:val="3"/>
        </w:numPr>
        <w:ind w:right="5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статья 243 – уничтожение или повреждение памятников истории и культуры;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7"/>
        <w:numPr>
          <w:ilvl w:val="0"/>
          <w:numId w:val="3"/>
        </w:numPr>
        <w:ind w:right="5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статья 244 – надругательство над телами умерших и местами их захоронения;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7"/>
        <w:numPr>
          <w:ilvl w:val="0"/>
          <w:numId w:val="3"/>
        </w:numPr>
        <w:ind w:right="5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статья 280 – публичные призывы к осуществлению экстремистской деятельности;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7"/>
        <w:numPr>
          <w:ilvl w:val="0"/>
          <w:numId w:val="3"/>
        </w:numPr>
        <w:ind w:right="5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статья 281 – диверсия;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7"/>
        <w:numPr>
          <w:ilvl w:val="0"/>
          <w:numId w:val="3"/>
        </w:numPr>
        <w:ind w:right="5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статья 282 – возбуждение ненависти либо вражды, а равно унижение человеческого достоинства;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7"/>
        <w:numPr>
          <w:ilvl w:val="0"/>
          <w:numId w:val="3"/>
        </w:numPr>
        <w:ind w:right="5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статья 282.1 – организация экстремистского сообщества;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7"/>
        <w:numPr>
          <w:ilvl w:val="0"/>
          <w:numId w:val="3"/>
        </w:numPr>
        <w:ind w:right="5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статья 282.2 – организация деятельности экстремистской организации;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7"/>
        <w:numPr>
          <w:ilvl w:val="0"/>
          <w:numId w:val="3"/>
        </w:numPr>
        <w:ind w:right="5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статья 357 – геноцид.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преступления экстремистского и терр</w:t>
      </w:r>
      <w:r>
        <w:rPr>
          <w:rFonts w:ascii="Times New Roman" w:hAnsi="Times New Roman" w:cs="Times New Roman"/>
          <w:sz w:val="28"/>
          <w:szCs w:val="28"/>
        </w:rPr>
        <w:t xml:space="preserve">ористического характера предусмотрена достаточно суровая уголовная ответственность, вплоть до пожизненного лишения свободы. К ряду преступлений против мира и безопасности человечества не применяются сроки давности освобождения от уголовной ответственности.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Штрафные санкции за массовое распространение экстремистских материалов, включенных в опубликованный федеральный список экс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тремистских материалов, а равно их производство либо хранение в целях массового распространения  могут составлять от одной тысячи до пяти тысяч рублей для граждан и должностных лиц. Для юридических лиц они существенно выше и могут составлять от пятидесяти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тысяч до ста тысяч рублей. Возможен также административный арест на срок до пятнадцати суток и конфискация указанных материалов и оборудования, использованного для их производства.</w:t>
      </w:r>
      <w:r>
        <w:rPr>
          <w:rFonts w:ascii="Times New Roman" w:hAnsi="Times New Roman" w:cs="Times New Roman"/>
          <w:sz w:val="28"/>
          <w:szCs w:val="28"/>
          <w:lang w:eastAsia="ru-RU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Пропаганда и публичное демонстриров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ание нацистской атрибутики или символики карается штрафными санкциями  в размере от пятисот рублей до пяти тысяч рублей для физических и должностных лиц, от двадцати до ста тысяч рублей - в отношении юридических лиц с конфискацией предмета правонарушения. </w:t>
      </w:r>
      <w:r>
        <w:rPr>
          <w:rFonts w:ascii="Times New Roman" w:hAnsi="Times New Roman" w:cs="Times New Roman"/>
          <w:sz w:val="28"/>
          <w:szCs w:val="28"/>
          <w:lang w:eastAsia="ru-RU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 физическим лицам также может быть применен административный арест на срок до 15 суток с конфискацией предмета правонарушения. </w:t>
      </w:r>
      <w:r>
        <w:rPr>
          <w:rFonts w:ascii="Times New Roman" w:hAnsi="Times New Roman" w:cs="Times New Roman"/>
          <w:sz w:val="28"/>
          <w:szCs w:val="28"/>
          <w:lang w:eastAsia="ru-RU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Заведомо ложное сообщение об акте терроризма пугает население, на период про</w:t>
      </w:r>
      <w:r>
        <w:rPr>
          <w:rFonts w:ascii="Times New Roman" w:hAnsi="Times New Roman" w:cs="Times New Roman"/>
          <w:sz w:val="28"/>
          <w:szCs w:val="28"/>
        </w:rPr>
        <w:t xml:space="preserve">верки нарушает нормальную жизнь общества, дезорганизует работу органов государственного управления, предприятий, организаций, транспорта. За такие «развлечения» предусмотрено уголовное наказание, а уголовной ответственности подлежат лица, достигшие 14 лет.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соответствии со ст.207 УК РФ заведомо ложное сообщение об акте терроризма наказыв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ается штрафом в размере до 200 тысяч рублей или в размере заработной платы или иного дохода осужденного за период до 18 месяцев, либо исправительными работами на срок от 1 года до 2 лет, либо арестом на срок от 3 до 6 месяцев, либо лишением свободы на срок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до 3 лет.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    </w:t>
      </w:r>
      <w:r>
        <w:rPr>
          <w:rFonts w:ascii="Times New Roman" w:hAnsi="Times New Roman" w:cs="Times New Roman"/>
          <w:sz w:val="28"/>
          <w:szCs w:val="28"/>
        </w:rPr>
        <w:t xml:space="preserve">Имущественный и материальный ущерб, связанный с работой бригад скорой помощи, МЧС и иных спасательн</w:t>
      </w:r>
      <w:r>
        <w:rPr>
          <w:rFonts w:ascii="Times New Roman" w:hAnsi="Times New Roman" w:cs="Times New Roman"/>
          <w:sz w:val="28"/>
          <w:szCs w:val="28"/>
        </w:rPr>
        <w:t xml:space="preserve">ых служб, призванных оказывать помощь в экстренных случаях и вынужденных проводить проверку ложного сообщения, ложится на плечи виновного лица. Одновременно с вынесением приговоров по данной категории дел удовлетворяются иски организаций, понёсших затраты.</w:t>
      </w:r>
      <w:r>
        <w:rPr>
          <w:rFonts w:ascii="Times New Roman" w:hAnsi="Times New Roman" w:cs="Times New Roman"/>
          <w:sz w:val="28"/>
          <w:szCs w:val="28"/>
          <w:lang w:eastAsia="ru-RU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Ответственность за организацию и участие в массовых беспорядках наступает с 16 лет, за хулиганство и вандализм – с 14 лет. Наказывается вандализм достаточно крупным штрафом либо обязательными или исправительными работами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либо арестом. </w:t>
      </w:r>
      <w:r>
        <w:rPr>
          <w:rFonts w:ascii="Times New Roman" w:hAnsi="Times New Roman" w:cs="Times New Roman"/>
          <w:sz w:val="28"/>
          <w:szCs w:val="28"/>
          <w:lang w:eastAsia="ru-RU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ст. 282 УК РФ (возбуждение ненависти или вражды, а равно унижение человеческого достоинства) осуждаются несовершеннолетние, действия которых выражаются в размещении в Интернете видеороликов пропагандистс</w:t>
      </w:r>
      <w:r>
        <w:rPr>
          <w:rFonts w:ascii="Times New Roman" w:hAnsi="Times New Roman" w:cs="Times New Roman"/>
          <w:sz w:val="28"/>
          <w:szCs w:val="28"/>
        </w:rPr>
        <w:t xml:space="preserve">кого характера со сценами убийства и насилия над лицами по мотивам нетерпимости и ненависти к расе, национальности и происхождению, публикуются текстовые документы под названием «Пособие по уличному террору» и т.д., с которыми знакомятся пользователи сети.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     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Ст.ст.243-244 УК РФ предусматривают ответственность за уничтожение или повреждение памятников истории и культуры и за надругательство н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ад телами умерших и местами их захоронения. За указанные преступления предусмотрено наказание в виде штрафа в значительных размерах, либо обязательных или исправительных работ, либо ареста или лишения свободы, в зависимости от тяжести совершенных действий.</w:t>
      </w:r>
      <w:r>
        <w:rPr>
          <w:rFonts w:ascii="Times New Roman" w:hAnsi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</w:r>
    </w:p>
    <w:p>
      <w:pPr>
        <w:pStyle w:val="704"/>
        <w:jc w:val="left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</w:r>
      <w:r>
        <w:rPr>
          <w:b w:val="0"/>
          <w:i w:val="0"/>
          <w:sz w:val="28"/>
          <w:szCs w:val="28"/>
        </w:rPr>
      </w:r>
    </w:p>
    <w:sectPr>
      <w:footerReference w:type="default" r:id="rId9"/>
      <w:footnotePr/>
      <w:endnotePr/>
      <w:type w:val="nextPage"/>
      <w:pgSz w:w="11909" w:h="16834" w:orient="portrait"/>
      <w:pgMar w:top="548" w:right="854" w:bottom="360" w:left="854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Verdana">
    <w:panose1 w:val="020B0604030504040204"/>
  </w:font>
  <w:font w:name="Cambria">
    <w:panose1 w:val="0204050305040603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91"/>
      <w:jc w:val="right"/>
    </w:pPr>
    <w:fldSimple w:instr="PAGE \* MERGEFORMAT">
      <w:r>
        <w:t xml:space="preserve">1</w:t>
      </w:r>
    </w:fldSimple>
    <w:r/>
    <w:r/>
  </w:p>
  <w:p>
    <w:pPr>
      <w:pStyle w:val="691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hint="default" w:ascii="Courier New" w:hAnsi="Courier New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hint="default" w:ascii="Courier New" w:hAnsi="Courier New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sz w:val="22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80"/>
    <w:link w:val="676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80"/>
    <w:link w:val="677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75"/>
    <w:next w:val="675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80"/>
    <w:link w:val="17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680"/>
    <w:link w:val="678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680"/>
    <w:link w:val="679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75"/>
    <w:next w:val="675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80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75"/>
    <w:next w:val="675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80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75"/>
    <w:next w:val="675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80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75"/>
    <w:next w:val="675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80"/>
    <w:link w:val="29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680"/>
    <w:link w:val="704"/>
    <w:uiPriority w:val="10"/>
    <w:rPr>
      <w:sz w:val="48"/>
      <w:szCs w:val="48"/>
    </w:rPr>
  </w:style>
  <w:style w:type="paragraph" w:styleId="36">
    <w:name w:val="Subtitle"/>
    <w:basedOn w:val="675"/>
    <w:next w:val="675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80"/>
    <w:link w:val="36"/>
    <w:uiPriority w:val="11"/>
    <w:rPr>
      <w:sz w:val="24"/>
      <w:szCs w:val="24"/>
    </w:rPr>
  </w:style>
  <w:style w:type="paragraph" w:styleId="38">
    <w:name w:val="Quote"/>
    <w:basedOn w:val="675"/>
    <w:next w:val="675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75"/>
    <w:next w:val="675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80"/>
    <w:link w:val="689"/>
    <w:uiPriority w:val="99"/>
  </w:style>
  <w:style w:type="character" w:styleId="45">
    <w:name w:val="Footer Char"/>
    <w:basedOn w:val="680"/>
    <w:link w:val="691"/>
    <w:uiPriority w:val="99"/>
  </w:style>
  <w:style w:type="paragraph" w:styleId="46">
    <w:name w:val="Caption"/>
    <w:basedOn w:val="675"/>
    <w:next w:val="675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80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8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8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8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8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8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8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8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8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8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8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8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75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80"/>
    <w:uiPriority w:val="99"/>
    <w:unhideWhenUsed/>
    <w:rPr>
      <w:vertAlign w:val="superscript"/>
    </w:rPr>
  </w:style>
  <w:style w:type="paragraph" w:styleId="178">
    <w:name w:val="endnote text"/>
    <w:basedOn w:val="675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80"/>
    <w:uiPriority w:val="99"/>
    <w:semiHidden/>
    <w:unhideWhenUsed/>
    <w:rPr>
      <w:vertAlign w:val="superscript"/>
    </w:rPr>
  </w:style>
  <w:style w:type="paragraph" w:styleId="181">
    <w:name w:val="toc 1"/>
    <w:basedOn w:val="675"/>
    <w:next w:val="675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75"/>
    <w:next w:val="675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75"/>
    <w:next w:val="675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75"/>
    <w:next w:val="675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75"/>
    <w:next w:val="675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75"/>
    <w:next w:val="675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75"/>
    <w:next w:val="675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75"/>
    <w:next w:val="675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75"/>
    <w:next w:val="675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75"/>
    <w:next w:val="675"/>
    <w:uiPriority w:val="99"/>
    <w:unhideWhenUsed/>
    <w:pPr>
      <w:spacing w:after="0" w:afterAutospacing="0"/>
    </w:pPr>
  </w:style>
  <w:style w:type="paragraph" w:styleId="675" w:default="1">
    <w:name w:val="Normal"/>
    <w:qFormat/>
    <w:pPr>
      <w:spacing w:after="200" w:line="276" w:lineRule="auto"/>
    </w:pPr>
    <w:rPr>
      <w:rFonts w:cs="Calibri"/>
      <w:lang w:eastAsia="en-US"/>
    </w:rPr>
  </w:style>
  <w:style w:type="paragraph" w:styleId="676">
    <w:name w:val="Heading 1"/>
    <w:basedOn w:val="675"/>
    <w:link w:val="683"/>
    <w:uiPriority w:val="99"/>
    <w:qFormat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sz w:val="48"/>
      <w:szCs w:val="48"/>
      <w:lang w:eastAsia="ru-RU"/>
    </w:rPr>
  </w:style>
  <w:style w:type="paragraph" w:styleId="677">
    <w:name w:val="Heading 2"/>
    <w:basedOn w:val="675"/>
    <w:next w:val="675"/>
    <w:link w:val="684"/>
    <w:uiPriority w:val="99"/>
    <w:qFormat/>
    <w:pPr>
      <w:keepLines/>
      <w:keepNext/>
      <w:spacing w:before="200" w:after="0"/>
      <w:outlineLvl w:val="1"/>
    </w:pPr>
    <w:rPr>
      <w:rFonts w:ascii="Cambria" w:hAnsi="Cambria" w:eastAsia="Times New Roman" w:cs="Times New Roman"/>
      <w:b/>
      <w:bCs/>
      <w:color w:val="4f81bd"/>
      <w:sz w:val="26"/>
      <w:szCs w:val="26"/>
    </w:rPr>
  </w:style>
  <w:style w:type="paragraph" w:styleId="678">
    <w:name w:val="Heading 4"/>
    <w:basedOn w:val="675"/>
    <w:next w:val="675"/>
    <w:link w:val="685"/>
    <w:uiPriority w:val="99"/>
    <w:qFormat/>
    <w:pPr>
      <w:keepLines/>
      <w:keepNext/>
      <w:spacing w:before="200" w:after="0"/>
      <w:outlineLvl w:val="3"/>
    </w:pPr>
    <w:rPr>
      <w:rFonts w:ascii="Cambria" w:hAnsi="Cambria" w:eastAsia="Times New Roman" w:cs="Times New Roman"/>
      <w:b/>
      <w:bCs/>
      <w:i/>
      <w:iCs/>
      <w:color w:val="4f81bd"/>
    </w:rPr>
  </w:style>
  <w:style w:type="paragraph" w:styleId="679">
    <w:name w:val="Heading 5"/>
    <w:basedOn w:val="675"/>
    <w:next w:val="675"/>
    <w:link w:val="686"/>
    <w:uiPriority w:val="99"/>
    <w:qFormat/>
    <w:pPr>
      <w:keepLines/>
      <w:keepNext/>
      <w:spacing w:before="200" w:after="0"/>
      <w:outlineLvl w:val="4"/>
    </w:pPr>
    <w:rPr>
      <w:rFonts w:ascii="Cambria" w:hAnsi="Cambria" w:eastAsia="Times New Roman" w:cs="Times New Roman"/>
      <w:color w:val="243f60"/>
    </w:rPr>
  </w:style>
  <w:style w:type="character" w:styleId="680" w:default="1">
    <w:name w:val="Default Paragraph Font"/>
    <w:uiPriority w:val="1"/>
    <w:semiHidden/>
    <w:unhideWhenUsed/>
  </w:style>
  <w:style w:type="table" w:styleId="681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2" w:default="1">
    <w:name w:val="No List"/>
    <w:uiPriority w:val="99"/>
    <w:semiHidden/>
    <w:unhideWhenUsed/>
  </w:style>
  <w:style w:type="character" w:styleId="683" w:customStyle="1">
    <w:name w:val="Заголовок 1 Знак"/>
    <w:basedOn w:val="680"/>
    <w:link w:val="676"/>
    <w:uiPriority w:val="99"/>
    <w:rPr>
      <w:rFonts w:ascii="Times New Roman" w:hAnsi="Times New Roman" w:cs="Times New Roman"/>
      <w:b/>
      <w:bCs/>
      <w:sz w:val="48"/>
      <w:szCs w:val="48"/>
    </w:rPr>
  </w:style>
  <w:style w:type="character" w:styleId="684" w:customStyle="1">
    <w:name w:val="Заголовок 2 Знак"/>
    <w:basedOn w:val="680"/>
    <w:link w:val="677"/>
    <w:uiPriority w:val="99"/>
    <w:semiHidden/>
    <w:rPr>
      <w:rFonts w:ascii="Cambria" w:hAnsi="Cambria" w:cs="Times New Roman"/>
      <w:b/>
      <w:bCs/>
      <w:color w:val="4f81bd"/>
      <w:sz w:val="26"/>
      <w:szCs w:val="26"/>
      <w:lang w:eastAsia="en-US"/>
    </w:rPr>
  </w:style>
  <w:style w:type="character" w:styleId="685" w:customStyle="1">
    <w:name w:val="Заголовок 4 Знак"/>
    <w:basedOn w:val="680"/>
    <w:link w:val="678"/>
    <w:uiPriority w:val="99"/>
    <w:semiHidden/>
    <w:rPr>
      <w:rFonts w:ascii="Cambria" w:hAnsi="Cambria" w:cs="Times New Roman"/>
      <w:b/>
      <w:bCs/>
      <w:i/>
      <w:iCs/>
      <w:color w:val="4f81bd"/>
      <w:sz w:val="22"/>
      <w:szCs w:val="22"/>
      <w:lang w:eastAsia="en-US"/>
    </w:rPr>
  </w:style>
  <w:style w:type="character" w:styleId="686" w:customStyle="1">
    <w:name w:val="Заголовок 5 Знак"/>
    <w:basedOn w:val="680"/>
    <w:link w:val="679"/>
    <w:uiPriority w:val="99"/>
    <w:semiHidden/>
    <w:rPr>
      <w:rFonts w:ascii="Cambria" w:hAnsi="Cambria" w:cs="Times New Roman"/>
      <w:color w:val="243f60"/>
      <w:sz w:val="22"/>
      <w:szCs w:val="22"/>
      <w:lang w:eastAsia="en-US"/>
    </w:rPr>
  </w:style>
  <w:style w:type="paragraph" w:styleId="687">
    <w:name w:val="List Paragraph"/>
    <w:basedOn w:val="675"/>
    <w:uiPriority w:val="99"/>
    <w:qFormat/>
    <w:pPr>
      <w:ind w:left="720"/>
    </w:pPr>
  </w:style>
  <w:style w:type="paragraph" w:styleId="688">
    <w:name w:val="Normal (Web)"/>
    <w:basedOn w:val="675"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89">
    <w:name w:val="Header"/>
    <w:basedOn w:val="675"/>
    <w:link w:val="690"/>
    <w:uiPriority w:val="99"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90" w:customStyle="1">
    <w:name w:val="Верхний колонтитул Знак"/>
    <w:basedOn w:val="680"/>
    <w:link w:val="689"/>
    <w:uiPriority w:val="99"/>
    <w:rPr>
      <w:rFonts w:cs="Times New Roman"/>
    </w:rPr>
  </w:style>
  <w:style w:type="paragraph" w:styleId="691">
    <w:name w:val="Footer"/>
    <w:basedOn w:val="675"/>
    <w:link w:val="692"/>
    <w:uiPriority w:val="99"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92" w:customStyle="1">
    <w:name w:val="Нижний колонтитул Знак"/>
    <w:basedOn w:val="680"/>
    <w:link w:val="691"/>
    <w:uiPriority w:val="99"/>
    <w:rPr>
      <w:rFonts w:cs="Times New Roman"/>
    </w:rPr>
  </w:style>
  <w:style w:type="character" w:styleId="693" w:customStyle="1">
    <w:name w:val="c0"/>
    <w:basedOn w:val="680"/>
    <w:uiPriority w:val="99"/>
    <w:rPr>
      <w:rFonts w:cs="Times New Roman"/>
    </w:rPr>
  </w:style>
  <w:style w:type="paragraph" w:styleId="694" w:customStyle="1">
    <w:name w:val="Char Char Знак Знак Знак Знак Знак Знак Знак Знак Знак Знак"/>
    <w:basedOn w:val="675"/>
    <w:uiPriority w:val="99"/>
    <w:pPr>
      <w:spacing w:after="160" w:line="240" w:lineRule="exact"/>
    </w:pPr>
    <w:rPr>
      <w:rFonts w:ascii="Verdana" w:hAnsi="Verdana" w:eastAsia="Times New Roman" w:cs="Verdana"/>
      <w:sz w:val="20"/>
      <w:szCs w:val="20"/>
      <w:lang w:val="en-US"/>
    </w:rPr>
  </w:style>
  <w:style w:type="paragraph" w:styleId="695" w:customStyle="1">
    <w:name w:val="Style2"/>
    <w:basedOn w:val="675"/>
    <w:uiPriority w:val="99"/>
    <w:pPr>
      <w:jc w:val="center"/>
      <w:spacing w:after="0" w:line="226" w:lineRule="exact"/>
      <w:widowControl w:val="off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96" w:customStyle="1">
    <w:name w:val="Font Style28"/>
    <w:uiPriority w:val="99"/>
    <w:rPr>
      <w:rFonts w:ascii="Times New Roman" w:hAnsi="Times New Roman"/>
      <w:sz w:val="18"/>
    </w:rPr>
  </w:style>
  <w:style w:type="paragraph" w:styleId="697" w:customStyle="1">
    <w:name w:val="Style6"/>
    <w:basedOn w:val="675"/>
    <w:uiPriority w:val="99"/>
    <w:pPr>
      <w:spacing w:after="0" w:line="233" w:lineRule="exact"/>
      <w:widowControl w:val="off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98" w:customStyle="1">
    <w:name w:val="Font Style56"/>
    <w:uiPriority w:val="99"/>
    <w:rPr>
      <w:rFonts w:ascii="Times New Roman" w:hAnsi="Times New Roman"/>
      <w:sz w:val="20"/>
    </w:rPr>
  </w:style>
  <w:style w:type="paragraph" w:styleId="699" w:customStyle="1">
    <w:name w:val="Style18"/>
    <w:basedOn w:val="675"/>
    <w:uiPriority w:val="99"/>
    <w:pPr>
      <w:ind w:hanging="283"/>
      <w:jc w:val="both"/>
      <w:spacing w:after="0" w:line="226" w:lineRule="exact"/>
      <w:widowControl w:val="off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700" w:customStyle="1">
    <w:name w:val="Style8"/>
    <w:basedOn w:val="675"/>
    <w:uiPriority w:val="99"/>
    <w:pPr>
      <w:ind w:firstLine="283"/>
      <w:jc w:val="both"/>
      <w:spacing w:after="0" w:line="240" w:lineRule="exact"/>
      <w:widowControl w:val="off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701" w:customStyle="1">
    <w:name w:val="Style10"/>
    <w:basedOn w:val="675"/>
    <w:uiPriority w:val="99"/>
    <w:pPr>
      <w:jc w:val="both"/>
      <w:spacing w:after="0" w:line="259" w:lineRule="exact"/>
      <w:widowControl w:val="off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702">
    <w:name w:val="Hyperlink"/>
    <w:basedOn w:val="680"/>
    <w:uiPriority w:val="99"/>
    <w:semiHidden/>
    <w:rPr>
      <w:rFonts w:cs="Times New Roman"/>
      <w:color w:val="0000ff"/>
      <w:u w:val="single"/>
    </w:rPr>
  </w:style>
  <w:style w:type="paragraph" w:styleId="703">
    <w:name w:val="No Spacing"/>
    <w:uiPriority w:val="99"/>
    <w:qFormat/>
    <w:rPr>
      <w:rFonts w:ascii="Times New Roman" w:hAnsi="Times New Roman" w:eastAsia="Times New Roman"/>
      <w:sz w:val="24"/>
      <w:szCs w:val="24"/>
    </w:rPr>
  </w:style>
  <w:style w:type="paragraph" w:styleId="704">
    <w:name w:val="Title"/>
    <w:basedOn w:val="675"/>
    <w:link w:val="705"/>
    <w:uiPriority w:val="99"/>
    <w:qFormat/>
    <w:pPr>
      <w:jc w:val="center"/>
      <w:spacing w:after="0" w:line="240" w:lineRule="auto"/>
    </w:pPr>
    <w:rPr>
      <w:rFonts w:ascii="Times New Roman" w:hAnsi="Times New Roman" w:eastAsia="Times New Roman" w:cs="Times New Roman"/>
      <w:b/>
      <w:i/>
      <w:sz w:val="24"/>
      <w:szCs w:val="20"/>
      <w:lang w:eastAsia="ru-RU"/>
    </w:rPr>
  </w:style>
  <w:style w:type="character" w:styleId="705" w:customStyle="1">
    <w:name w:val="Название Знак"/>
    <w:basedOn w:val="680"/>
    <w:link w:val="704"/>
    <w:uiPriority w:val="99"/>
    <w:rPr>
      <w:rFonts w:ascii="Times New Roman" w:hAnsi="Times New Roman" w:cs="Times New Roman"/>
      <w:b/>
      <w:i/>
      <w:sz w:val="24"/>
    </w:rPr>
  </w:style>
  <w:style w:type="character" w:styleId="706">
    <w:name w:val="Emphasis"/>
    <w:basedOn w:val="680"/>
    <w:uiPriority w:val="99"/>
    <w:qFormat/>
    <w:rPr>
      <w:rFonts w:cs="Times New Roman"/>
      <w:i/>
      <w:iCs/>
    </w:rPr>
  </w:style>
  <w:style w:type="character" w:styleId="707">
    <w:name w:val="Strong"/>
    <w:basedOn w:val="680"/>
    <w:uiPriority w:val="99"/>
    <w:qFormat/>
    <w:rPr>
      <w:rFonts w:cs="Times New Roman"/>
      <w:b/>
      <w:bCs/>
    </w:rPr>
  </w:style>
  <w:style w:type="paragraph" w:styleId="708">
    <w:name w:val="HTML Preformatted"/>
    <w:basedOn w:val="675"/>
    <w:link w:val="709"/>
    <w:uiPriority w:val="99"/>
    <w:pPr>
      <w:spacing w:after="0" w:line="240" w:lineRule="auto"/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eastAsia="Times New Roman" w:cs="Courier New"/>
      <w:sz w:val="20"/>
      <w:szCs w:val="20"/>
      <w:lang w:eastAsia="ru-RU"/>
    </w:rPr>
  </w:style>
  <w:style w:type="character" w:styleId="709" w:customStyle="1">
    <w:name w:val="Стандартный HTML Знак"/>
    <w:basedOn w:val="680"/>
    <w:link w:val="708"/>
    <w:uiPriority w:val="99"/>
    <w:rPr>
      <w:rFonts w:ascii="Courier New" w:hAnsi="Courier New" w:cs="Courier New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>ВИРО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Аноним</cp:lastModifiedBy>
  <cp:revision>3</cp:revision>
  <dcterms:created xsi:type="dcterms:W3CDTF">2022-09-27T09:41:00Z</dcterms:created>
  <dcterms:modified xsi:type="dcterms:W3CDTF">2025-09-25T08:01:32Z</dcterms:modified>
</cp:coreProperties>
</file>